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400"/>
      </w:tblGrid>
      <w:tr w:rsidR="001A31DB" w:rsidRPr="00503CEA" w14:paraId="7DE4049D" w14:textId="77777777" w:rsidTr="00880764">
        <w:tc>
          <w:tcPr>
            <w:tcW w:w="4888" w:type="dxa"/>
          </w:tcPr>
          <w:p w14:paraId="4D1D2F3D" w14:textId="77777777" w:rsidR="001A31DB" w:rsidRPr="00503CEA" w:rsidRDefault="001A31DB" w:rsidP="00880764">
            <w:pPr>
              <w:spacing w:line="221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E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1FC49D9" wp14:editId="26AA076A">
                  <wp:extent cx="2051685" cy="429260"/>
                  <wp:effectExtent l="19050" t="0" r="5715" b="0"/>
                  <wp:docPr id="2" name="Obraz 1" descr="logo BS Pło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S Pło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7EC4371" w14:textId="77777777" w:rsidR="001A31DB" w:rsidRPr="00503CEA" w:rsidRDefault="001A31DB" w:rsidP="00880764">
            <w:pPr>
              <w:spacing w:after="0" w:line="221" w:lineRule="auto"/>
              <w:ind w:right="-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D9EB5" w14:textId="77777777" w:rsidR="00303128" w:rsidRDefault="00303128" w:rsidP="00A07B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62C8B" w14:textId="73726AF1" w:rsidR="00A07BD3" w:rsidRPr="00303128" w:rsidRDefault="00A07BD3" w:rsidP="00A07BD3">
      <w:pPr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03128">
        <w:rPr>
          <w:rFonts w:ascii="Times New Roman" w:hAnsi="Times New Roman" w:cs="Times New Roman"/>
          <w:b/>
          <w:bCs/>
          <w:sz w:val="28"/>
          <w:szCs w:val="28"/>
        </w:rPr>
        <w:t xml:space="preserve">Minimalny zakres ochrony ubezpieczeniowej </w:t>
      </w:r>
    </w:p>
    <w:p w14:paraId="6827B832" w14:textId="77777777" w:rsidR="00A07BD3" w:rsidRPr="005B0C8E" w:rsidRDefault="00A07BD3" w:rsidP="00A07BD3">
      <w:pPr>
        <w:jc w:val="both"/>
        <w:rPr>
          <w:rFonts w:ascii="Times New Roman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>Bank akceptuje zawarte przez klienta ubezpieczenie jako zabezpieczenie ekspozycji kredytowej, jeśli spełnia ono uznawane w Banku minimalne warunki ochrony ubezpieczeniowej, tj.</w:t>
      </w:r>
    </w:p>
    <w:p w14:paraId="56D23EFD" w14:textId="77777777" w:rsidR="00A07BD3" w:rsidRPr="005B0C8E" w:rsidRDefault="00A07BD3" w:rsidP="00A07BD3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 xml:space="preserve">zakład ubezpieczeń (wystawca polisy) znajduje się na Liście Zakładów Ubezpieczeń akceptowanych przez Bank oraz </w:t>
      </w:r>
    </w:p>
    <w:p w14:paraId="5AC74E2B" w14:textId="77777777" w:rsidR="00A07BD3" w:rsidRPr="005B0C8E" w:rsidRDefault="00A07BD3" w:rsidP="00A07BD3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>umowa ubezpieczenia spełnia minimalne kryteria ochrony ubezpieczeniowej</w:t>
      </w:r>
    </w:p>
    <w:p w14:paraId="2B0EB4CB" w14:textId="77777777" w:rsidR="00A07BD3" w:rsidRPr="005B0C8E" w:rsidRDefault="00A07BD3" w:rsidP="00A07BD3">
      <w:pPr>
        <w:pStyle w:val="Akapitzlist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6E3A9C2C" w14:textId="77777777" w:rsidR="00A07BD3" w:rsidRPr="00303128" w:rsidRDefault="00A07BD3" w:rsidP="00A07BD3">
      <w:pPr>
        <w:pStyle w:val="Akapitzlist"/>
        <w:ind w:left="8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128">
        <w:rPr>
          <w:rFonts w:ascii="Times New Roman" w:hAnsi="Times New Roman" w:cs="Times New Roman"/>
          <w:b/>
          <w:bCs/>
          <w:sz w:val="28"/>
          <w:szCs w:val="28"/>
        </w:rPr>
        <w:t>Minimalne kryteria ochrony ubezpieczeniowej</w:t>
      </w:r>
    </w:p>
    <w:p w14:paraId="59862850" w14:textId="77777777" w:rsidR="00A07BD3" w:rsidRPr="005B0C8E" w:rsidRDefault="00A07BD3" w:rsidP="00A07BD3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C8E">
        <w:rPr>
          <w:rFonts w:ascii="Times New Roman" w:hAnsi="Times New Roman" w:cs="Times New Roman"/>
          <w:b/>
          <w:bCs/>
          <w:sz w:val="24"/>
          <w:szCs w:val="24"/>
        </w:rPr>
        <w:t xml:space="preserve">W przypadku ubezpieczeń na życie: </w:t>
      </w:r>
    </w:p>
    <w:p w14:paraId="110D6CFA" w14:textId="77777777" w:rsidR="005B0C8E" w:rsidRPr="005B0C8E" w:rsidRDefault="00A07BD3" w:rsidP="005B0C8E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>1)</w:t>
      </w:r>
      <w:r w:rsidRPr="005B0C8E">
        <w:rPr>
          <w:rFonts w:ascii="Times New Roman" w:hAnsi="Times New Roman" w:cs="Times New Roman"/>
          <w:sz w:val="24"/>
          <w:szCs w:val="24"/>
        </w:rPr>
        <w:tab/>
      </w:r>
      <w:r w:rsidR="005B0C8E" w:rsidRPr="005B0C8E">
        <w:rPr>
          <w:rFonts w:ascii="Times New Roman" w:hAnsi="Times New Roman" w:cs="Times New Roman"/>
          <w:sz w:val="24"/>
          <w:szCs w:val="24"/>
        </w:rPr>
        <w:t>polisa powinna zapewnić ochronę z tytułu śmierci:</w:t>
      </w:r>
    </w:p>
    <w:p w14:paraId="4B1A5FC7" w14:textId="77777777" w:rsidR="005B0C8E" w:rsidRPr="005B0C8E" w:rsidRDefault="005B0C8E" w:rsidP="005B0C8E">
      <w:pPr>
        <w:autoSpaceDE w:val="0"/>
        <w:autoSpaceDN w:val="0"/>
        <w:adjustRightInd w:val="0"/>
        <w:spacing w:after="12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>a)</w:t>
      </w:r>
      <w:r w:rsidRPr="005B0C8E">
        <w:rPr>
          <w:rFonts w:ascii="Times New Roman" w:hAnsi="Times New Roman" w:cs="Times New Roman"/>
          <w:sz w:val="24"/>
          <w:szCs w:val="24"/>
        </w:rPr>
        <w:tab/>
        <w:t>niespowodowanej nieszczęśliwym wypadkiem, co najmniej do 70 roku życia ubezpieczonego lub do końca okresu kredytowania w przypadkach, gdy suma okresu kredytowania i wieku kredytobiorcy jest mniejsza niż 70 lat,</w:t>
      </w:r>
    </w:p>
    <w:p w14:paraId="4DD92E88" w14:textId="77777777" w:rsidR="005B0C8E" w:rsidRPr="005B0C8E" w:rsidRDefault="005B0C8E" w:rsidP="005B0C8E">
      <w:pPr>
        <w:autoSpaceDE w:val="0"/>
        <w:autoSpaceDN w:val="0"/>
        <w:adjustRightInd w:val="0"/>
        <w:spacing w:after="12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>b)</w:t>
      </w:r>
      <w:r w:rsidRPr="005B0C8E">
        <w:rPr>
          <w:rFonts w:ascii="Times New Roman" w:hAnsi="Times New Roman" w:cs="Times New Roman"/>
          <w:sz w:val="24"/>
          <w:szCs w:val="24"/>
        </w:rPr>
        <w:tab/>
        <w:t xml:space="preserve">spowodowanej nieszczęśliwym wypadkiem co najmniej do 80 roku życia ubezpieczonego lub do końca okresu kredytowania w przypadkach, gdy suma okresu kredytowania i wieku kredytobiorcy jest mniejsza niż 80 lat; </w:t>
      </w:r>
    </w:p>
    <w:p w14:paraId="1FDAFE0F" w14:textId="77777777" w:rsidR="005B0C8E" w:rsidRPr="005B0C8E" w:rsidRDefault="005B0C8E" w:rsidP="005B0C8E">
      <w:pPr>
        <w:autoSpaceDE w:val="0"/>
        <w:autoSpaceDN w:val="0"/>
        <w:adjustRightInd w:val="0"/>
        <w:spacing w:after="12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DC5E6BD" w14:textId="77777777" w:rsidR="00A07BD3" w:rsidRPr="005B0C8E" w:rsidRDefault="00A07BD3" w:rsidP="00A07BD3">
      <w:pPr>
        <w:pStyle w:val="Akapitzlist"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5B0C8E">
        <w:rPr>
          <w:rFonts w:ascii="Times New Roman" w:hAnsi="Times New Roman" w:cs="Times New Roman"/>
          <w:b/>
          <w:bCs/>
          <w:sz w:val="24"/>
          <w:szCs w:val="24"/>
        </w:rPr>
        <w:t xml:space="preserve">W przypadku ubezpieczeń majątkowych: </w:t>
      </w:r>
    </w:p>
    <w:p w14:paraId="1AFB32F4" w14:textId="77777777" w:rsidR="005B0C8E" w:rsidRPr="005B0C8E" w:rsidRDefault="005B0C8E" w:rsidP="005B0C8E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/>
        </w:rPr>
      </w:pPr>
      <w:r w:rsidRPr="005B0C8E">
        <w:rPr>
          <w:rFonts w:ascii="Times New Roman" w:hAnsi="Times New Roman"/>
          <w:sz w:val="24"/>
        </w:rPr>
        <w:t>maksymalna odpowiedzialność zakładu ubezpieczeń (tzw. suma ubezpieczenia) nie powinna być mniejsza niż wartość rynkowa ubezpieczanego mienia, będącego przedmiotem zabezpieczenia kredytu;</w:t>
      </w:r>
      <w:r w:rsidRPr="005B0C8E">
        <w:t xml:space="preserve"> </w:t>
      </w:r>
    </w:p>
    <w:p w14:paraId="31DE7204" w14:textId="77777777" w:rsidR="005B0C8E" w:rsidRPr="005B0C8E" w:rsidRDefault="005B0C8E" w:rsidP="005B0C8E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 xml:space="preserve">obligatoryjność ochrony </w:t>
      </w:r>
      <w:bookmarkStart w:id="0" w:name="_Hlk123294548"/>
      <w:r w:rsidRPr="005B0C8E">
        <w:rPr>
          <w:rFonts w:ascii="Times New Roman" w:hAnsi="Times New Roman" w:cs="Times New Roman"/>
          <w:sz w:val="24"/>
          <w:szCs w:val="24"/>
        </w:rPr>
        <w:t>w zakresie najczęściej spotykanych ryz</w:t>
      </w:r>
      <w:bookmarkEnd w:id="0"/>
      <w:r w:rsidRPr="005B0C8E">
        <w:rPr>
          <w:rFonts w:ascii="Times New Roman" w:hAnsi="Times New Roman" w:cs="Times New Roman"/>
          <w:sz w:val="24"/>
          <w:szCs w:val="24"/>
        </w:rPr>
        <w:t xml:space="preserve">yk </w:t>
      </w:r>
      <w:r w:rsidRPr="005B0C8E">
        <w:rPr>
          <w:rFonts w:ascii="Times New Roman" w:hAnsi="Times New Roman"/>
          <w:sz w:val="24"/>
        </w:rPr>
        <w:t>jakie mogą wystąpić w czasie użytkowania rzeczy ruchomej lub nieruchomości (np. ubezpieczenie mienia od ognia i innych zdarzeń losowych, kradzieży z włamaniem i rabunku), chorób i upadków (dotyczy zwierząt), dewastacji, katastrofy budowlanej, ubezpieczenia casco (dotyczy: pojazdów, maszyn i urządzeń w ruchu z własnym napędem i bez własnego napędu, pojazdów szynowych, statków powietrznych, statków żeglugi morskiej i śródlądowej). Ocena istotności ryzyka zależy od rodzaju ubezpieczanego mienia oraz miejsca jego przechowywania;</w:t>
      </w:r>
    </w:p>
    <w:p w14:paraId="3DC8BFD9" w14:textId="77777777" w:rsidR="005B0C8E" w:rsidRPr="005B0C8E" w:rsidRDefault="005B0C8E" w:rsidP="005B0C8E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5B0C8E">
        <w:rPr>
          <w:rFonts w:ascii="Times New Roman" w:hAnsi="Times New Roman" w:cs="Times New Roman"/>
          <w:sz w:val="24"/>
          <w:szCs w:val="24"/>
        </w:rPr>
        <w:t>brak franszyz uniemożliwiających wypłatę znacznej części odszkodowań/świadczeń na poczet zabezpieczenia ryzyka Banku.</w:t>
      </w:r>
    </w:p>
    <w:p w14:paraId="2C9B6EF4" w14:textId="77777777" w:rsidR="00862DA8" w:rsidRPr="00B93A25" w:rsidRDefault="00000000" w:rsidP="00A07BD3">
      <w:pPr>
        <w:pStyle w:val="Akapitzlist"/>
        <w:ind w:left="0"/>
        <w:jc w:val="center"/>
        <w:rPr>
          <w:sz w:val="20"/>
          <w:szCs w:val="20"/>
        </w:rPr>
      </w:pPr>
    </w:p>
    <w:sectPr w:rsidR="00862DA8" w:rsidRPr="00B93A25" w:rsidSect="00114C6C">
      <w:pgSz w:w="12240" w:h="15840"/>
      <w:pgMar w:top="902" w:right="760" w:bottom="993" w:left="1440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1F86"/>
    <w:multiLevelType w:val="hybridMultilevel"/>
    <w:tmpl w:val="B5EEE794"/>
    <w:lvl w:ilvl="0" w:tplc="DC58B69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19F0"/>
    <w:multiLevelType w:val="hybridMultilevel"/>
    <w:tmpl w:val="7D9C41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686BAE"/>
    <w:multiLevelType w:val="hybridMultilevel"/>
    <w:tmpl w:val="658AB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49D0"/>
    <w:multiLevelType w:val="hybridMultilevel"/>
    <w:tmpl w:val="46FE04B6"/>
    <w:lvl w:ilvl="0" w:tplc="3D5683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02A11"/>
    <w:multiLevelType w:val="hybridMultilevel"/>
    <w:tmpl w:val="AFE80D7A"/>
    <w:lvl w:ilvl="0" w:tplc="77C4F65C">
      <w:start w:val="1"/>
      <w:numFmt w:val="decimal"/>
      <w:lvlText w:val="%1)"/>
      <w:lvlJc w:val="left"/>
      <w:pPr>
        <w:ind w:left="864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4" w:hanging="360"/>
      </w:pPr>
    </w:lvl>
    <w:lvl w:ilvl="2" w:tplc="0415001B">
      <w:start w:val="1"/>
      <w:numFmt w:val="lowerRoman"/>
      <w:lvlText w:val="%3."/>
      <w:lvlJc w:val="right"/>
      <w:pPr>
        <w:ind w:left="2304" w:hanging="180"/>
      </w:pPr>
    </w:lvl>
    <w:lvl w:ilvl="3" w:tplc="0415000F">
      <w:start w:val="1"/>
      <w:numFmt w:val="decimal"/>
      <w:lvlText w:val="%4."/>
      <w:lvlJc w:val="left"/>
      <w:pPr>
        <w:ind w:left="3024" w:hanging="360"/>
      </w:pPr>
    </w:lvl>
    <w:lvl w:ilvl="4" w:tplc="04150019">
      <w:start w:val="1"/>
      <w:numFmt w:val="lowerLetter"/>
      <w:lvlText w:val="%5."/>
      <w:lvlJc w:val="left"/>
      <w:pPr>
        <w:ind w:left="3744" w:hanging="360"/>
      </w:pPr>
    </w:lvl>
    <w:lvl w:ilvl="5" w:tplc="0415001B">
      <w:start w:val="1"/>
      <w:numFmt w:val="lowerRoman"/>
      <w:lvlText w:val="%6."/>
      <w:lvlJc w:val="right"/>
      <w:pPr>
        <w:ind w:left="4464" w:hanging="180"/>
      </w:pPr>
    </w:lvl>
    <w:lvl w:ilvl="6" w:tplc="0415000F">
      <w:start w:val="1"/>
      <w:numFmt w:val="decimal"/>
      <w:lvlText w:val="%7."/>
      <w:lvlJc w:val="left"/>
      <w:pPr>
        <w:ind w:left="5184" w:hanging="360"/>
      </w:pPr>
    </w:lvl>
    <w:lvl w:ilvl="7" w:tplc="04150019">
      <w:start w:val="1"/>
      <w:numFmt w:val="lowerLetter"/>
      <w:lvlText w:val="%8."/>
      <w:lvlJc w:val="left"/>
      <w:pPr>
        <w:ind w:left="5904" w:hanging="360"/>
      </w:pPr>
    </w:lvl>
    <w:lvl w:ilvl="8" w:tplc="0415001B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F34FA9"/>
    <w:multiLevelType w:val="hybridMultilevel"/>
    <w:tmpl w:val="9342E910"/>
    <w:lvl w:ilvl="0" w:tplc="4A90FF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952">
    <w:abstractNumId w:val="1"/>
  </w:num>
  <w:num w:numId="2" w16cid:durableId="1156797622">
    <w:abstractNumId w:val="2"/>
  </w:num>
  <w:num w:numId="3" w16cid:durableId="1173882869">
    <w:abstractNumId w:val="3"/>
  </w:num>
  <w:num w:numId="4" w16cid:durableId="934483484">
    <w:abstractNumId w:val="5"/>
  </w:num>
  <w:num w:numId="5" w16cid:durableId="1548641720">
    <w:abstractNumId w:val="0"/>
  </w:num>
  <w:num w:numId="6" w16cid:durableId="506679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233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DB"/>
    <w:rsid w:val="00114C6C"/>
    <w:rsid w:val="001A31DB"/>
    <w:rsid w:val="00303128"/>
    <w:rsid w:val="00307F99"/>
    <w:rsid w:val="003F64F5"/>
    <w:rsid w:val="003F72CD"/>
    <w:rsid w:val="005B0C8E"/>
    <w:rsid w:val="008E7CD7"/>
    <w:rsid w:val="00A07BD3"/>
    <w:rsid w:val="00B93A25"/>
    <w:rsid w:val="00C92141"/>
    <w:rsid w:val="00D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98C4"/>
  <w15:docId w15:val="{AB8AB025-858E-4AA2-991A-616D447D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1DB"/>
    <w:pPr>
      <w:ind w:left="720"/>
      <w:contextualSpacing/>
    </w:pPr>
  </w:style>
  <w:style w:type="table" w:styleId="Tabela-Siatka">
    <w:name w:val="Table Grid"/>
    <w:basedOn w:val="Standardowy"/>
    <w:uiPriority w:val="59"/>
    <w:rsid w:val="001A31D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D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Bogumila.Pokrzywnick</dc:creator>
  <cp:lastModifiedBy>Pokrzywnicka Bogumiła</cp:lastModifiedBy>
  <cp:revision>12</cp:revision>
  <dcterms:created xsi:type="dcterms:W3CDTF">2018-10-29T08:50:00Z</dcterms:created>
  <dcterms:modified xsi:type="dcterms:W3CDTF">2023-01-09T10:07:00Z</dcterms:modified>
</cp:coreProperties>
</file>